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65C" w:rsidRPr="00DF065C" w:rsidRDefault="00DF065C" w:rsidP="00DF065C">
      <w:pPr>
        <w:spacing w:after="0" w:line="240" w:lineRule="auto"/>
        <w:jc w:val="both"/>
        <w:rPr>
          <w:rFonts w:eastAsia="Calibri" w:cs="Times New Roman"/>
          <w:u w:color="000000"/>
        </w:rPr>
      </w:pPr>
      <w:r w:rsidRPr="00DF065C">
        <w:rPr>
          <w:rFonts w:eastAsia="Calibri" w:cs="Times New Roman"/>
          <w:b/>
          <w:sz w:val="24"/>
          <w:szCs w:val="24"/>
          <w:u w:color="000000"/>
        </w:rPr>
        <w:t xml:space="preserve">TRIỀU CỐNG, </w:t>
      </w:r>
      <w:r w:rsidRPr="00DF065C">
        <w:rPr>
          <w:rFonts w:eastAsia="Calibri" w:cs="Times New Roman"/>
          <w:u w:color="000000"/>
        </w:rPr>
        <w:t xml:space="preserve">để chỉ một nước nhỏ đem dâng phẩm vật cho nước lớn hoặc một chư hầu dâng vật phẩm lên vua nước lớn. </w:t>
      </w:r>
    </w:p>
    <w:p w:rsidR="00DF065C" w:rsidRPr="00DF065C" w:rsidRDefault="00DF065C" w:rsidP="00DF065C">
      <w:pPr>
        <w:shd w:val="clear" w:color="auto" w:fill="FFFFFF"/>
        <w:spacing w:after="0" w:line="240" w:lineRule="auto"/>
        <w:ind w:firstLine="720"/>
        <w:jc w:val="both"/>
        <w:rPr>
          <w:rFonts w:eastAsia="Calibri" w:cs="Times New Roman"/>
          <w:u w:color="000000"/>
        </w:rPr>
      </w:pPr>
      <w:r w:rsidRPr="00DF065C">
        <w:rPr>
          <w:rFonts w:eastAsia="Calibri" w:cs="Times New Roman"/>
          <w:u w:color="000000"/>
        </w:rPr>
        <w:t>Cống mang tính bắt buộc và theo quy định của thiên triều và có kỳ hạn nhất định: hàng năm hoặc 3 năm hay 6 năm một lần. Cống vật là vàng, bạc, đặc sản địa phương có giá trị, thậm chí có khi là con người (chuyên gia giỏi, thợ lành nghề,...).Cống là biểu trưng của sự lệ thuộc, phục tùng thiên triều về chính trị, nhưng cũng là một trách nhiệm kinh tế quan trọng của chư hầu.  Cống khác với sính. Sính nghĩa là thăm hỏi nhau, một hình thức cử sứ giả thăm viếng nhau cũng có quà tặng nhau và tặng vật gọi là sính trong trường hợp hai nước thông hiểu và có quan hệ bang giao. Sính không định kỳ, thường được tiến hành để giao hiếu, thông báo thắng trận hoặc sau khi được sách phong...</w:t>
      </w:r>
    </w:p>
    <w:p w:rsidR="00DF065C" w:rsidRPr="00DF065C" w:rsidRDefault="00DF065C" w:rsidP="00DF065C">
      <w:pPr>
        <w:shd w:val="clear" w:color="auto" w:fill="FFFFFF"/>
        <w:spacing w:after="0" w:line="240" w:lineRule="auto"/>
        <w:jc w:val="both"/>
        <w:rPr>
          <w:rFonts w:eastAsia="Calibri" w:cs="Times New Roman"/>
          <w:u w:color="000000"/>
        </w:rPr>
      </w:pPr>
      <w:r w:rsidRPr="00DF065C">
        <w:rPr>
          <w:rFonts w:eastAsia="Calibri" w:cs="Times New Roman"/>
          <w:u w:color="000000"/>
        </w:rPr>
        <w:t xml:space="preserve">   </w:t>
      </w:r>
      <w:r w:rsidRPr="00DF065C">
        <w:rPr>
          <w:rFonts w:eastAsia="Calibri" w:cs="Times New Roman"/>
          <w:u w:color="000000"/>
        </w:rPr>
        <w:tab/>
        <w:t xml:space="preserve">Chế độ TC cũng gắn với chế độ phân phong thời Tây Chu, Trung Quốc (1046-771 TCN). Vua các nước chư hầu của nhà Chu có nghĩa vụ hàng năm đến chầu và nộp cống cho triều đình, là hình thức tổ chức cai trị nội bộ, dựa chủ yếu trên quan hệ huyết thống của giai cấp thống trị Trung Quốc. Chế độ TC cũng được các triều đại phong kiến Trung Quốc áp dụng với các nước xung  quanh có quan hệ với Trung Quốc. Cũng như sách phong, TC là một công cụ quan trọng của Thiên triều trong hàng nghìn năm để khuất phục các nước phiên thuộc, chư hầu. </w:t>
      </w:r>
    </w:p>
    <w:p w:rsidR="00DF065C" w:rsidRPr="00DF065C" w:rsidRDefault="00DF065C" w:rsidP="00DF065C">
      <w:pPr>
        <w:shd w:val="clear" w:color="auto" w:fill="FFFFFF"/>
        <w:spacing w:after="0" w:line="240" w:lineRule="auto"/>
        <w:jc w:val="both"/>
        <w:rPr>
          <w:rFonts w:eastAsia="Calibri" w:cs="Times New Roman"/>
          <w:u w:color="000000"/>
        </w:rPr>
      </w:pPr>
      <w:r w:rsidRPr="00DF065C">
        <w:rPr>
          <w:rFonts w:eastAsia="Calibri" w:cs="Times New Roman"/>
          <w:u w:color="000000"/>
        </w:rPr>
        <w:t xml:space="preserve">   </w:t>
      </w:r>
      <w:r w:rsidRPr="00DF065C">
        <w:rPr>
          <w:rFonts w:eastAsia="Calibri" w:cs="Times New Roman"/>
          <w:u w:color="000000"/>
        </w:rPr>
        <w:tab/>
        <w:t>Việt Nam và Trung Quốc là hai nước láng giềng, song Trung Quốc là nước lớn, mạnh nhất trong khu vực nên tự xem mình là tông chủ, xem Việt Nam là chư hầu. Để tránh binh đao và giữ hòa hiếu với Phương Bắc các triều đại phong kiến Việt Nam cũng phải chấp nhận TC thiên triều.</w:t>
      </w:r>
    </w:p>
    <w:p w:rsidR="00DF065C" w:rsidRPr="00DF065C" w:rsidRDefault="00DF065C" w:rsidP="00DF065C">
      <w:pPr>
        <w:shd w:val="clear" w:color="auto" w:fill="FFFFFF"/>
        <w:spacing w:after="0" w:line="240" w:lineRule="auto"/>
        <w:jc w:val="both"/>
        <w:rPr>
          <w:rFonts w:eastAsia="Calibri" w:cs="Times New Roman"/>
          <w:u w:color="000000"/>
        </w:rPr>
      </w:pPr>
      <w:r w:rsidRPr="00DF065C">
        <w:rPr>
          <w:rFonts w:eastAsia="Calibri" w:cs="Times New Roman"/>
          <w:u w:color="000000"/>
        </w:rPr>
        <w:tab/>
        <w:t>Việc TC giữa Đại Việt và các triều đình phong kiến Trung Hoa được quy định 3 năm 1 lần. Từ khi Thủ đô của Trung Hoa chuyển lên Yên Kinh (Bắc Kinh), thì 6 năm 1 lần song phải 2 lễ cống. Đồ cống là các sản vật địa phương như voi, ngà voi, sừng tê giác, chim trĩ và lông chim trĩ, trầm hương, vàng bạc, châu báu và thợ lành nghề, thầy tu, thầy bói v.v.</w:t>
      </w:r>
    </w:p>
    <w:p w:rsidR="00DF065C" w:rsidRPr="00DF065C" w:rsidRDefault="00DF065C" w:rsidP="00DF065C">
      <w:pPr>
        <w:shd w:val="clear" w:color="auto" w:fill="FFFFFF"/>
        <w:spacing w:after="0" w:line="240" w:lineRule="auto"/>
        <w:ind w:firstLine="720"/>
        <w:jc w:val="both"/>
        <w:rPr>
          <w:rFonts w:eastAsia="Calibri" w:cs="Times New Roman"/>
          <w:u w:color="000000"/>
        </w:rPr>
      </w:pPr>
      <w:r w:rsidRPr="00DF065C">
        <w:rPr>
          <w:rFonts w:eastAsia="Calibri" w:cs="Times New Roman"/>
          <w:u w:color="000000"/>
        </w:rPr>
        <w:t xml:space="preserve">Việc TC cũng là cuộc đấu tranh ngoại giao căng thẳng, không kém phần cam go của các triều đại Việt Nam đối với Trung Quốc. Triều Trần đã không chấp nhận yêu sách của nhà Nguyên đòi cống thợ lành nghề và thầy thuốc giỏi. Nhà Minh đã đòi vua Lê cống người vàng (từ năm 1431), trả nợ việc Liễu Thăng bị Lê Thái Tổ chém chết trong trận Chi Lăng năm 1427. Đến tận năm 1718, sứ thần Nguyễn Công Hãng mới dùng lý lẽ bác bỏ được việc cống người vàng. </w:t>
      </w:r>
    </w:p>
    <w:p w:rsidR="00DF065C" w:rsidRPr="00DF065C" w:rsidRDefault="00DF065C" w:rsidP="00DF065C">
      <w:pPr>
        <w:spacing w:after="0" w:line="240" w:lineRule="auto"/>
        <w:jc w:val="both"/>
        <w:rPr>
          <w:rFonts w:eastAsia="Calibri" w:cs="Times New Roman"/>
          <w:u w:color="000000"/>
        </w:rPr>
      </w:pPr>
      <w:r w:rsidRPr="00DF065C">
        <w:rPr>
          <w:rFonts w:eastAsia="Calibri" w:cs="Times New Roman"/>
          <w:u w:color="000000"/>
        </w:rPr>
        <w:t xml:space="preserve">     </w:t>
      </w:r>
      <w:r w:rsidRPr="00DF065C">
        <w:rPr>
          <w:rFonts w:eastAsia="Calibri" w:cs="Times New Roman"/>
          <w:u w:color="000000"/>
        </w:rPr>
        <w:tab/>
        <w:t xml:space="preserve">Mối quan hệ giữa các triều đại phong kiến Trung Hoa và các nước phụ thuộc sau này được nhiều học giả phương Tây gọi là hệ thống TC hay trật tự thế giới Trung Hoa. Trong lịch sử thế giới, các nước lớn như Ai Cập, Hy Lạp, La Mã, Ba Tư… đều bắt các nước nhỏ phụ thuộc mình, nhưng không ràng buộc các nước phụ thuộc theo cách như phong kiến Trung Hoa. </w:t>
      </w:r>
    </w:p>
    <w:p w:rsidR="00DF065C" w:rsidRPr="00DF065C" w:rsidRDefault="00DF065C" w:rsidP="00DF065C">
      <w:pPr>
        <w:spacing w:after="0" w:line="240" w:lineRule="auto"/>
        <w:jc w:val="right"/>
        <w:rPr>
          <w:rFonts w:eastAsia="Calibri" w:cs="Times New Roman"/>
          <w:b/>
          <w:sz w:val="22"/>
          <w:u w:color="000000"/>
        </w:rPr>
      </w:pPr>
      <w:r w:rsidRPr="00DF065C">
        <w:rPr>
          <w:rFonts w:eastAsia="Calibri" w:cs="Times New Roman"/>
          <w:b/>
          <w:sz w:val="22"/>
          <w:u w:color="000000"/>
        </w:rPr>
        <w:t>VŨ DƯƠNG HUÂN</w:t>
      </w:r>
    </w:p>
    <w:p w:rsidR="00DF065C" w:rsidRPr="00DF065C" w:rsidRDefault="00DF065C" w:rsidP="00DF065C">
      <w:pPr>
        <w:spacing w:after="0" w:line="240" w:lineRule="auto"/>
        <w:jc w:val="both"/>
        <w:rPr>
          <w:rFonts w:eastAsia="Calibri" w:cs="Times New Roman"/>
          <w:sz w:val="24"/>
          <w:szCs w:val="24"/>
          <w:u w:color="000000"/>
        </w:rPr>
      </w:pPr>
      <w:r w:rsidRPr="00DF065C">
        <w:rPr>
          <w:rFonts w:eastAsia="Calibri" w:cs="Times New Roman"/>
          <w:b/>
          <w:sz w:val="24"/>
          <w:szCs w:val="24"/>
          <w:u w:color="000000"/>
        </w:rPr>
        <w:t>Tài liệu tham khảo:</w:t>
      </w:r>
    </w:p>
    <w:p w:rsidR="00DF065C" w:rsidRPr="00DF065C" w:rsidRDefault="00DF065C" w:rsidP="00DF065C">
      <w:pPr>
        <w:spacing w:after="0" w:line="240" w:lineRule="auto"/>
        <w:jc w:val="both"/>
        <w:rPr>
          <w:rFonts w:eastAsia="Calibri" w:cs="Times New Roman"/>
          <w:sz w:val="24"/>
          <w:szCs w:val="24"/>
          <w:u w:color="000000"/>
        </w:rPr>
      </w:pPr>
      <w:r w:rsidRPr="00DF065C">
        <w:rPr>
          <w:rFonts w:eastAsia="Calibri" w:cs="Times New Roman"/>
          <w:sz w:val="24"/>
          <w:szCs w:val="24"/>
          <w:u w:color="000000"/>
        </w:rPr>
        <w:t xml:space="preserve">1. Lưu Văn Lợi,  </w:t>
      </w:r>
      <w:r w:rsidRPr="00DF065C">
        <w:rPr>
          <w:rFonts w:eastAsia="Calibri" w:cs="Times New Roman"/>
          <w:i/>
          <w:sz w:val="24"/>
          <w:szCs w:val="24"/>
          <w:u w:color="000000"/>
        </w:rPr>
        <w:t>Ngoại giao Đại Việt</w:t>
      </w:r>
      <w:r w:rsidRPr="00DF065C">
        <w:rPr>
          <w:rFonts w:eastAsia="Calibri" w:cs="Times New Roman"/>
          <w:sz w:val="24"/>
          <w:szCs w:val="24"/>
          <w:u w:color="000000"/>
        </w:rPr>
        <w:t>, Nxb. Công an nhân dân, Hà Nội, 2000.</w:t>
      </w:r>
    </w:p>
    <w:p w:rsidR="00DF065C" w:rsidRPr="00DF065C" w:rsidRDefault="00DF065C" w:rsidP="00DF065C">
      <w:pPr>
        <w:spacing w:after="0" w:line="240" w:lineRule="auto"/>
        <w:jc w:val="both"/>
        <w:rPr>
          <w:rFonts w:eastAsia="Calibri" w:cs="Times New Roman"/>
          <w:sz w:val="24"/>
          <w:szCs w:val="24"/>
          <w:u w:color="000000"/>
        </w:rPr>
      </w:pPr>
      <w:r w:rsidRPr="00DF065C">
        <w:rPr>
          <w:rFonts w:eastAsia="Calibri" w:cs="Times New Roman"/>
          <w:sz w:val="24"/>
          <w:szCs w:val="24"/>
          <w:u w:color="000000"/>
        </w:rPr>
        <w:t xml:space="preserve">2 Nguyên Thế Long, </w:t>
      </w:r>
      <w:r w:rsidRPr="00DF065C">
        <w:rPr>
          <w:rFonts w:eastAsia="Calibri" w:cs="Times New Roman"/>
          <w:i/>
          <w:sz w:val="24"/>
          <w:szCs w:val="24"/>
          <w:u w:color="000000"/>
        </w:rPr>
        <w:t>Chuyện đi sứ tiếp sứ thời xưa</w:t>
      </w:r>
      <w:r w:rsidRPr="00DF065C">
        <w:rPr>
          <w:rFonts w:eastAsia="Calibri" w:cs="Times New Roman"/>
          <w:sz w:val="24"/>
          <w:szCs w:val="24"/>
          <w:u w:color="000000"/>
        </w:rPr>
        <w:t>, Nxb. Văn hóa-Thông tin, Hà Nội, 2001.</w:t>
      </w:r>
    </w:p>
    <w:p w:rsidR="00DF065C" w:rsidRPr="00DF065C" w:rsidRDefault="00DF065C" w:rsidP="00DF065C">
      <w:pPr>
        <w:spacing w:after="0" w:line="240" w:lineRule="auto"/>
        <w:jc w:val="both"/>
        <w:rPr>
          <w:rFonts w:eastAsia="Calibri" w:cs="Times New Roman"/>
          <w:sz w:val="24"/>
          <w:szCs w:val="24"/>
          <w:u w:color="000000"/>
        </w:rPr>
      </w:pPr>
      <w:r w:rsidRPr="00DF065C">
        <w:rPr>
          <w:rFonts w:eastAsia="Calibri" w:cs="Times New Roman"/>
          <w:sz w:val="24"/>
          <w:szCs w:val="24"/>
          <w:u w:color="000000"/>
        </w:rPr>
        <w:t xml:space="preserve">3. Nguyễn Thị Kiều Trang, </w:t>
      </w:r>
      <w:r w:rsidRPr="00DF065C">
        <w:rPr>
          <w:rFonts w:eastAsia="Calibri" w:cs="Times New Roman"/>
          <w:i/>
          <w:sz w:val="24"/>
          <w:szCs w:val="24"/>
          <w:u w:color="000000"/>
        </w:rPr>
        <w:t>Về quan hệ sách phong, triều cống  Minh - Đại Việt</w:t>
      </w:r>
      <w:r w:rsidRPr="00DF065C">
        <w:rPr>
          <w:rFonts w:eastAsia="Calibri" w:cs="Times New Roman"/>
          <w:sz w:val="24"/>
          <w:szCs w:val="24"/>
          <w:u w:color="000000"/>
        </w:rPr>
        <w:t>, Nxb. Chính trị quốc gia - Sự thật, Hà Nội, 2016.</w:t>
      </w:r>
    </w:p>
    <w:p w:rsidR="00DF065C" w:rsidRPr="00DF065C" w:rsidRDefault="00DF065C" w:rsidP="00DF065C">
      <w:pPr>
        <w:spacing w:after="0" w:line="240" w:lineRule="auto"/>
        <w:jc w:val="both"/>
        <w:rPr>
          <w:rFonts w:eastAsia="Calibri" w:cs="Times New Roman"/>
          <w:sz w:val="24"/>
          <w:szCs w:val="24"/>
          <w:u w:color="000000"/>
        </w:rPr>
      </w:pPr>
      <w:r w:rsidRPr="00DF065C">
        <w:rPr>
          <w:rFonts w:eastAsia="Calibri" w:cs="Times New Roman"/>
          <w:sz w:val="24"/>
          <w:szCs w:val="24"/>
          <w:u w:color="000000"/>
        </w:rPr>
        <w:t xml:space="preserve">4. Vũ Dương Huân, </w:t>
      </w:r>
      <w:r w:rsidRPr="00DF065C">
        <w:rPr>
          <w:rFonts w:eastAsia="Calibri" w:cs="Times New Roman"/>
          <w:i/>
          <w:sz w:val="24"/>
          <w:szCs w:val="24"/>
          <w:u w:color="000000"/>
        </w:rPr>
        <w:t>Các nhà ngoại giao trong lịch sử dân tộc</w:t>
      </w:r>
      <w:r w:rsidRPr="00DF065C">
        <w:rPr>
          <w:rFonts w:eastAsia="Calibri" w:cs="Times New Roman"/>
          <w:sz w:val="24"/>
          <w:szCs w:val="24"/>
          <w:u w:color="000000"/>
        </w:rPr>
        <w:t>, Nxb. Chính trị quốc gia - Sự thật, Hà Nội, 2017.</w:t>
      </w:r>
    </w:p>
    <w:p w:rsidR="00F3618D" w:rsidRDefault="00F3618D">
      <w:bookmarkStart w:id="0" w:name="_GoBack"/>
      <w:bookmarkEnd w:id="0"/>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5C"/>
    <w:rsid w:val="002133F0"/>
    <w:rsid w:val="004B574E"/>
    <w:rsid w:val="00775E1E"/>
    <w:rsid w:val="0090568D"/>
    <w:rsid w:val="00B93CAB"/>
    <w:rsid w:val="00DF065C"/>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97529-0051-44CE-839C-76FEE596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2025-12-08T03:53:00Z</dcterms:created>
  <dcterms:modified xsi:type="dcterms:W3CDTF">2025-12-08T03:53:00Z</dcterms:modified>
</cp:coreProperties>
</file>